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97" w:rsidRPr="00E435DC" w:rsidRDefault="009E7E97" w:rsidP="000224D8">
      <w:pPr>
        <w:pStyle w:val="Standard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9E7E97" w:rsidRPr="00E435DC" w:rsidRDefault="009E7E97" w:rsidP="000224D8">
      <w:pPr>
        <w:pStyle w:val="Standard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9E7E97" w:rsidRPr="00E435DC" w:rsidRDefault="009E7E97" w:rsidP="000224D8">
      <w:pPr>
        <w:pStyle w:val="Standard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9E7E97" w:rsidRPr="00E435DC" w:rsidRDefault="009E7E97" w:rsidP="000224D8">
      <w:pPr>
        <w:pStyle w:val="Standard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9E7E97" w:rsidRPr="00E435DC" w:rsidRDefault="009E7E97" w:rsidP="000224D8">
      <w:pPr>
        <w:pStyle w:val="Standard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AF6777" w:rsidRDefault="00AF6777" w:rsidP="000224D8">
      <w:pPr>
        <w:pStyle w:val="Standard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AF6777" w:rsidRDefault="00AF6777" w:rsidP="000224D8">
      <w:pPr>
        <w:pStyle w:val="Standard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AF6777" w:rsidRDefault="00AF6777" w:rsidP="000224D8">
      <w:pPr>
        <w:pStyle w:val="Standard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AF6777" w:rsidRDefault="00AF6777" w:rsidP="000224D8">
      <w:pPr>
        <w:pStyle w:val="Standard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AF6777" w:rsidRDefault="00AF6777" w:rsidP="000224D8">
      <w:pPr>
        <w:pStyle w:val="Standard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AF6777" w:rsidRPr="005618DF" w:rsidRDefault="00AF6777" w:rsidP="000224D8">
      <w:pPr>
        <w:pStyle w:val="Standard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AF6777" w:rsidRPr="005618DF" w:rsidRDefault="00AF6777" w:rsidP="000224D8">
      <w:pPr>
        <w:pStyle w:val="Standard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AF6777" w:rsidRPr="005618DF" w:rsidRDefault="00AF6777" w:rsidP="000224D8">
      <w:pPr>
        <w:pStyle w:val="Standard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AF6777" w:rsidRPr="005618DF" w:rsidRDefault="00AF6777" w:rsidP="000224D8">
      <w:pPr>
        <w:pStyle w:val="Standard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0224D8" w:rsidRPr="005618DF" w:rsidRDefault="00E435DC" w:rsidP="000224D8">
      <w:pPr>
        <w:pStyle w:val="Standard"/>
        <w:jc w:val="center"/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</w:pPr>
      <w:r w:rsidRPr="005618DF">
        <w:rPr>
          <w:rFonts w:asciiTheme="minorHAnsi" w:eastAsia="Times New Roman" w:hAnsiTheme="minorHAnsi" w:cstheme="minorHAnsi"/>
          <w:b/>
          <w:sz w:val="22"/>
          <w:szCs w:val="22"/>
        </w:rPr>
        <w:t>IZVE</w:t>
      </w:r>
      <w:r w:rsidRPr="005618DF">
        <w:rPr>
          <w:rFonts w:asciiTheme="minorHAnsi" w:eastAsia="Times New Roman" w:hAnsiTheme="minorHAnsi" w:cstheme="minorHAnsi"/>
          <w:b/>
          <w:sz w:val="22"/>
          <w:szCs w:val="22"/>
          <w:lang w:val="sr-Latn-RS"/>
        </w:rPr>
        <w:t>ŠTAJ O TRANSFERNIM CENAMA U SKRAĆENOM OBLIKU</w:t>
      </w:r>
    </w:p>
    <w:p w:rsidR="009E7E97" w:rsidRPr="005618DF" w:rsidRDefault="00A2091C" w:rsidP="000224D8">
      <w:pPr>
        <w:pStyle w:val="Standard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618DF">
        <w:rPr>
          <w:rFonts w:asciiTheme="minorHAnsi" w:eastAsia="Times New Roman" w:hAnsiTheme="minorHAnsi" w:cstheme="minorHAnsi"/>
          <w:b/>
          <w:sz w:val="22"/>
          <w:szCs w:val="22"/>
        </w:rPr>
        <w:t>2014. GODINA</w:t>
      </w:r>
    </w:p>
    <w:p w:rsidR="009E7E97" w:rsidRPr="005618DF" w:rsidRDefault="009E7E97" w:rsidP="000224D8">
      <w:pPr>
        <w:pStyle w:val="Standard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9E7E97" w:rsidRPr="005618DF" w:rsidRDefault="002F7AEF" w:rsidP="000224D8">
      <w:pPr>
        <w:pStyle w:val="Standard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XZY</w:t>
      </w:r>
      <w:r w:rsidR="009E7E97" w:rsidRPr="005618DF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proofErr w:type="spellStart"/>
      <w:r w:rsidR="009E7E97" w:rsidRPr="005618DF">
        <w:rPr>
          <w:rFonts w:asciiTheme="minorHAnsi" w:eastAsia="Times New Roman" w:hAnsiTheme="minorHAnsi" w:cstheme="minorHAnsi"/>
          <w:b/>
          <w:sz w:val="22"/>
          <w:szCs w:val="22"/>
        </w:rPr>
        <w:t>d.o.o</w:t>
      </w:r>
      <w:proofErr w:type="spellEnd"/>
      <w:r w:rsidR="009E7E97" w:rsidRPr="005618DF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="00F41888" w:rsidRPr="005618DF">
        <w:rPr>
          <w:rFonts w:asciiTheme="minorHAnsi" w:eastAsia="Times New Roman" w:hAnsiTheme="minorHAnsi" w:cstheme="minorHAnsi"/>
          <w:b/>
          <w:sz w:val="22"/>
          <w:szCs w:val="22"/>
        </w:rPr>
        <w:t>, Beograd</w:t>
      </w:r>
      <w:r w:rsidR="00E435DC" w:rsidRPr="005618DF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proofErr w:type="spellStart"/>
      <w:r w:rsidR="00E435DC" w:rsidRPr="005618DF">
        <w:rPr>
          <w:rFonts w:asciiTheme="minorHAnsi" w:eastAsia="Times New Roman" w:hAnsiTheme="minorHAnsi" w:cstheme="minorHAnsi"/>
          <w:b/>
          <w:sz w:val="22"/>
          <w:szCs w:val="22"/>
        </w:rPr>
        <w:t>Srbija</w:t>
      </w:r>
      <w:proofErr w:type="spellEnd"/>
    </w:p>
    <w:p w:rsidR="009E7E97" w:rsidRPr="005618DF" w:rsidRDefault="009E7E97">
      <w:pPr>
        <w:widowControl/>
        <w:suppressAutoHyphens w:val="0"/>
        <w:autoSpaceDN/>
        <w:rPr>
          <w:rFonts w:asciiTheme="minorHAnsi" w:eastAsia="Times New Roman" w:hAnsiTheme="minorHAnsi" w:cstheme="minorHAnsi"/>
          <w:b/>
          <w:color w:val="000000"/>
        </w:rPr>
      </w:pPr>
      <w:r w:rsidRPr="005618DF">
        <w:rPr>
          <w:rFonts w:asciiTheme="minorHAnsi" w:eastAsia="Times New Roman" w:hAnsiTheme="minorHAnsi" w:cstheme="minorHAnsi"/>
          <w:b/>
        </w:rPr>
        <w:br w:type="page"/>
      </w:r>
    </w:p>
    <w:p w:rsidR="000224D8" w:rsidRPr="005618DF" w:rsidRDefault="000224D8" w:rsidP="000224D8">
      <w:pPr>
        <w:pStyle w:val="Standard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0" w:name="_GoBack"/>
      <w:bookmarkEnd w:id="0"/>
    </w:p>
    <w:p w:rsidR="00F41888" w:rsidRPr="005618DF" w:rsidRDefault="003B2769" w:rsidP="00F4188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618DF">
        <w:rPr>
          <w:rFonts w:asciiTheme="minorHAnsi" w:hAnsiTheme="minorHAnsi" w:cstheme="minorHAnsi"/>
          <w:b/>
          <w:sz w:val="22"/>
          <w:szCs w:val="22"/>
          <w:lang w:val="sl-SI"/>
        </w:rPr>
        <w:t>Informacije o obveznik</w:t>
      </w:r>
      <w:r w:rsidR="002F7AEF">
        <w:rPr>
          <w:rFonts w:asciiTheme="minorHAnsi" w:hAnsiTheme="minorHAnsi" w:cstheme="minorHAnsi"/>
          <w:b/>
          <w:sz w:val="22"/>
          <w:szCs w:val="22"/>
          <w:lang w:val="sl-SI"/>
        </w:rPr>
        <w:t>u</w:t>
      </w:r>
    </w:p>
    <w:p w:rsidR="003B2769" w:rsidRPr="005618DF" w:rsidRDefault="003B2769" w:rsidP="003B2769">
      <w:pPr>
        <w:pStyle w:val="ListParagraph"/>
        <w:ind w:left="36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8646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4503"/>
      </w:tblGrid>
      <w:tr w:rsidR="00F41888" w:rsidRPr="005618DF" w:rsidTr="002F7AEF"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88" w:rsidRPr="005618DF" w:rsidRDefault="00F41888" w:rsidP="00F41888">
            <w:pPr>
              <w:widowControl/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Naziv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 :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88" w:rsidRPr="005618DF" w:rsidRDefault="001F688B" w:rsidP="00F41888">
            <w:pPr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XZY</w:t>
            </w:r>
            <w:r w:rsidR="002F7AE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2F7AEF">
              <w:rPr>
                <w:rFonts w:asciiTheme="minorHAnsi" w:hAnsiTheme="minorHAnsi" w:cstheme="minorHAnsi"/>
                <w:color w:val="000000"/>
              </w:rPr>
              <w:t>d.o.o</w:t>
            </w:r>
            <w:proofErr w:type="spellEnd"/>
            <w:r w:rsidR="002F7AEF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F41888" w:rsidRPr="005618DF" w:rsidTr="002F7AEF"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88" w:rsidRPr="005618DF" w:rsidRDefault="00F41888" w:rsidP="00F41888">
            <w:pPr>
              <w:widowControl/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Vlasnici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88" w:rsidRPr="005618DF" w:rsidRDefault="002F7AEF" w:rsidP="00F41888">
            <w:pPr>
              <w:widowControl/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N.N.</w:t>
            </w:r>
          </w:p>
        </w:tc>
      </w:tr>
      <w:tr w:rsidR="00F41888" w:rsidRPr="005618DF" w:rsidTr="002F7AEF"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88" w:rsidRPr="005618DF" w:rsidRDefault="00F41888" w:rsidP="00F41888">
            <w:pPr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Matični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broj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88" w:rsidRPr="005618DF" w:rsidRDefault="002F7AEF" w:rsidP="00F41888">
            <w:pPr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111111</w:t>
            </w:r>
          </w:p>
        </w:tc>
      </w:tr>
      <w:tr w:rsidR="00F41888" w:rsidRPr="005618DF" w:rsidTr="002F7AEF"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88" w:rsidRPr="005618DF" w:rsidRDefault="00F41888" w:rsidP="00F41888">
            <w:pPr>
              <w:widowControl/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 w:rsidRPr="005618DF">
              <w:rPr>
                <w:rFonts w:asciiTheme="minorHAnsi" w:eastAsia="Times New Roman" w:hAnsiTheme="minorHAnsi" w:cstheme="minorHAnsi"/>
                <w:color w:val="000000"/>
              </w:rPr>
              <w:t>PIB: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88" w:rsidRPr="005618DF" w:rsidRDefault="002F7AEF" w:rsidP="00F41888">
            <w:pPr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222222</w:t>
            </w:r>
          </w:p>
        </w:tc>
      </w:tr>
      <w:tr w:rsidR="00F41888" w:rsidRPr="005618DF" w:rsidTr="002F7AEF"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88" w:rsidRPr="005618DF" w:rsidRDefault="00F41888" w:rsidP="00F41888">
            <w:pPr>
              <w:widowControl/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proofErr w:type="spellStart"/>
            <w:r w:rsidRPr="005618DF">
              <w:rPr>
                <w:rFonts w:asciiTheme="minorHAnsi" w:eastAsia="Times New Roman" w:hAnsiTheme="minorHAnsi" w:cstheme="minorHAnsi"/>
                <w:bCs/>
                <w:color w:val="000000"/>
              </w:rPr>
              <w:t>Zakonski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Cs/>
                <w:color w:val="000000"/>
              </w:rPr>
              <w:t>Zastunik</w:t>
            </w:r>
            <w:proofErr w:type="spellEnd"/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88" w:rsidRPr="005618DF" w:rsidRDefault="002F7AEF" w:rsidP="00F41888">
            <w:pPr>
              <w:widowControl/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M.M.</w:t>
            </w:r>
          </w:p>
        </w:tc>
      </w:tr>
      <w:tr w:rsidR="00F41888" w:rsidRPr="005618DF" w:rsidTr="003B2769"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88" w:rsidRPr="005618DF" w:rsidRDefault="00F41888" w:rsidP="00F41888">
            <w:pPr>
              <w:widowControl/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proofErr w:type="spellStart"/>
            <w:r w:rsidRPr="005618DF">
              <w:rPr>
                <w:rFonts w:asciiTheme="minorHAnsi" w:eastAsia="Times New Roman" w:hAnsiTheme="minorHAnsi" w:cstheme="minorHAnsi"/>
                <w:bCs/>
                <w:color w:val="000000"/>
              </w:rPr>
              <w:t>Osnovna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Cs/>
                <w:color w:val="000000"/>
              </w:rPr>
              <w:t>Delatnost</w:t>
            </w:r>
            <w:proofErr w:type="spellEnd"/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88" w:rsidRPr="005618DF" w:rsidRDefault="00F41888" w:rsidP="00F41888">
            <w:pPr>
              <w:widowControl/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5618D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4662-trgovina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Cs/>
                <w:color w:val="000000"/>
              </w:rPr>
              <w:t>na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Cs/>
                <w:color w:val="000000"/>
              </w:rPr>
              <w:t>veliko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Cs/>
                <w:color w:val="000000"/>
              </w:rPr>
              <w:t>alatnim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Cs/>
                <w:color w:val="000000"/>
              </w:rPr>
              <w:t>masinama</w:t>
            </w:r>
            <w:proofErr w:type="spellEnd"/>
          </w:p>
        </w:tc>
      </w:tr>
      <w:tr w:rsidR="00F41888" w:rsidRPr="005618DF" w:rsidTr="003B2769"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88" w:rsidRPr="005618DF" w:rsidRDefault="00F41888" w:rsidP="00F41888">
            <w:pPr>
              <w:widowControl/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proofErr w:type="spellStart"/>
            <w:r w:rsidRPr="005618DF">
              <w:rPr>
                <w:rFonts w:asciiTheme="minorHAnsi" w:eastAsia="Times New Roman" w:hAnsiTheme="minorHAnsi" w:cstheme="minorHAnsi"/>
                <w:bCs/>
                <w:color w:val="000000"/>
              </w:rPr>
              <w:t>Telefon</w:t>
            </w:r>
            <w:proofErr w:type="spellEnd"/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88" w:rsidRPr="005618DF" w:rsidRDefault="002F7AEF" w:rsidP="00F418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XXXX</w:t>
            </w:r>
          </w:p>
        </w:tc>
      </w:tr>
      <w:tr w:rsidR="00F41888" w:rsidRPr="005618DF" w:rsidTr="003B2769"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88" w:rsidRPr="005618DF" w:rsidRDefault="00F41888" w:rsidP="00F41888">
            <w:pPr>
              <w:widowControl/>
              <w:spacing w:after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proofErr w:type="spellStart"/>
            <w:r w:rsidRPr="005618DF">
              <w:rPr>
                <w:rFonts w:asciiTheme="minorHAnsi" w:eastAsia="Times New Roman" w:hAnsiTheme="minorHAnsi" w:cstheme="minorHAnsi"/>
                <w:bCs/>
                <w:color w:val="000000"/>
              </w:rPr>
              <w:t>Adresa</w:t>
            </w:r>
            <w:proofErr w:type="spellEnd"/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88" w:rsidRPr="005618DF" w:rsidRDefault="002F7AEF" w:rsidP="00F41888">
            <w:pPr>
              <w:widowControl/>
              <w:spacing w:after="0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</w:rPr>
              <w:t>Ulica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XXX </w:t>
            </w:r>
            <w:r w:rsidR="00F41888" w:rsidRPr="005618DF">
              <w:rPr>
                <w:rFonts w:asciiTheme="minorHAnsi" w:eastAsia="Times New Roman" w:hAnsiTheme="minorHAnsi" w:cstheme="minorHAnsi"/>
                <w:color w:val="000000"/>
              </w:rPr>
              <w:t>, 11000 Beograd</w:t>
            </w:r>
          </w:p>
        </w:tc>
      </w:tr>
    </w:tbl>
    <w:p w:rsidR="000224D8" w:rsidRPr="005618DF" w:rsidRDefault="000224D8" w:rsidP="00F41888">
      <w:pPr>
        <w:pStyle w:val="Standard"/>
        <w:rPr>
          <w:rFonts w:asciiTheme="minorHAnsi" w:eastAsia="Times New Roman" w:hAnsiTheme="minorHAnsi" w:cstheme="minorHAnsi"/>
          <w:sz w:val="22"/>
          <w:szCs w:val="22"/>
        </w:rPr>
      </w:pPr>
    </w:p>
    <w:p w:rsidR="000224D8" w:rsidRPr="005618DF" w:rsidRDefault="000224D8" w:rsidP="000224D8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0224D8" w:rsidRPr="005618DF" w:rsidRDefault="000224D8" w:rsidP="00F4188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618DF">
        <w:rPr>
          <w:rFonts w:asciiTheme="minorHAnsi" w:hAnsiTheme="minorHAnsi" w:cstheme="minorHAnsi"/>
          <w:b/>
          <w:sz w:val="22"/>
          <w:szCs w:val="22"/>
          <w:lang w:val="sl-SI"/>
        </w:rPr>
        <w:t>Svrha izveštaja</w:t>
      </w:r>
    </w:p>
    <w:p w:rsidR="009E7E97" w:rsidRPr="005618DF" w:rsidRDefault="009E7E97" w:rsidP="002F7AEF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5618DF">
        <w:rPr>
          <w:rFonts w:asciiTheme="minorHAnsi" w:hAnsiTheme="minorHAnsi" w:cstheme="minorHAnsi"/>
          <w:sz w:val="22"/>
          <w:szCs w:val="22"/>
          <w:lang w:val="sl-SI"/>
        </w:rPr>
        <w:t>Ovaj izveštaj Društvo podnosi uz svoj poreski bilans, a uskladu sa Pravilnikom o transfernim cenama i metodama koje se po principu "van dohvata ruke" primenjuju kod utvrđivanja cene transakcija među povezanim licima ("Službeni glasnik RS", br.</w:t>
      </w:r>
      <w:r w:rsidR="00F41888" w:rsidRPr="005618DF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5618DF">
        <w:rPr>
          <w:rFonts w:asciiTheme="minorHAnsi" w:hAnsiTheme="minorHAnsi" w:cstheme="minorHAnsi"/>
          <w:sz w:val="22"/>
          <w:szCs w:val="22"/>
          <w:lang w:val="sl-SI"/>
        </w:rPr>
        <w:t>61/2013</w:t>
      </w:r>
      <w:r w:rsidR="00F41888" w:rsidRPr="005618DF">
        <w:rPr>
          <w:rFonts w:asciiTheme="minorHAnsi" w:hAnsiTheme="minorHAnsi" w:cstheme="minorHAnsi"/>
          <w:sz w:val="22"/>
          <w:szCs w:val="22"/>
          <w:lang w:val="sl-SI"/>
        </w:rPr>
        <w:t xml:space="preserve"> I 8/14),</w:t>
      </w:r>
      <w:r w:rsidRPr="005618DF">
        <w:rPr>
          <w:rFonts w:asciiTheme="minorHAnsi" w:hAnsiTheme="minorHAnsi" w:cstheme="minorHAnsi"/>
          <w:sz w:val="22"/>
          <w:szCs w:val="22"/>
          <w:lang w:val="sl-SI"/>
        </w:rPr>
        <w:t xml:space="preserve"> (u daljem teksu: Pravilnk), a na osnovu člana 61a Zakona o porezu na dobit pravnih lica ("Službeni glasnik RS", br. 25/01, 80/02, 80/02 - dr. zakon, 43/03, 84/04, 18/10, 101/11, 119/12 i 47/13), (u daljem teksu : Zakon)</w:t>
      </w:r>
    </w:p>
    <w:p w:rsidR="009E7E97" w:rsidRPr="005618DF" w:rsidRDefault="009E7E97" w:rsidP="009E7E9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9E7E97" w:rsidRPr="005618DF" w:rsidRDefault="009E7E97" w:rsidP="00F41888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5618DF">
        <w:rPr>
          <w:rFonts w:asciiTheme="minorHAnsi" w:hAnsiTheme="minorHAnsi" w:cstheme="minorHAnsi"/>
          <w:sz w:val="22"/>
          <w:szCs w:val="22"/>
          <w:lang w:val="sl-SI"/>
        </w:rPr>
        <w:t>Prilikom izrade izveštaja oslonili smo se na sledeće okvire:</w:t>
      </w:r>
    </w:p>
    <w:p w:rsidR="009E7E97" w:rsidRPr="005618DF" w:rsidRDefault="009E7E97" w:rsidP="009E7E9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9E7E97" w:rsidRPr="005618DF" w:rsidRDefault="009E7E97" w:rsidP="002F7AEF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5618DF">
        <w:rPr>
          <w:rFonts w:asciiTheme="minorHAnsi" w:hAnsiTheme="minorHAnsi" w:cstheme="minorHAnsi"/>
          <w:sz w:val="22"/>
          <w:szCs w:val="22"/>
          <w:lang w:val="sl-SI"/>
        </w:rPr>
        <w:t>Pravilnik o transfernim cenama i metodama koje se po principu "van dohvata ruke" primenjuju kod utvrđivanja cene transakcija među povezanim licima ("Službeni glasnik RS", br.61/2013</w:t>
      </w:r>
      <w:r w:rsidR="00F41888" w:rsidRPr="005618DF">
        <w:rPr>
          <w:rFonts w:asciiTheme="minorHAnsi" w:hAnsiTheme="minorHAnsi" w:cstheme="minorHAnsi"/>
          <w:sz w:val="22"/>
          <w:szCs w:val="22"/>
          <w:lang w:val="sl-SI"/>
        </w:rPr>
        <w:t>, 8/2014, od 29. januara 2014. G</w:t>
      </w:r>
      <w:r w:rsidRPr="005618DF">
        <w:rPr>
          <w:rFonts w:asciiTheme="minorHAnsi" w:hAnsiTheme="minorHAnsi" w:cstheme="minorHAnsi"/>
          <w:sz w:val="22"/>
          <w:szCs w:val="22"/>
          <w:lang w:val="sl-SI"/>
        </w:rPr>
        <w:t>odine)</w:t>
      </w:r>
    </w:p>
    <w:p w:rsidR="00F41888" w:rsidRPr="005618DF" w:rsidRDefault="009E7E97" w:rsidP="002F7AEF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18DF">
        <w:rPr>
          <w:rFonts w:asciiTheme="minorHAnsi" w:hAnsiTheme="minorHAnsi" w:cstheme="minorHAnsi"/>
          <w:sz w:val="22"/>
          <w:szCs w:val="22"/>
          <w:lang w:val="sl-SI"/>
        </w:rPr>
        <w:t>Zakon o porezu na dobit pravnih lica ("Službeni glasnik RS", br. 25/01, 80/02, 80/02 - dr. zakon, 43/03, 84/04, 18/10, 101/11, 119/12 i 47/13/108/13).</w:t>
      </w:r>
    </w:p>
    <w:p w:rsidR="009E7E97" w:rsidRPr="005618DF" w:rsidRDefault="009E7E97" w:rsidP="002F7AEF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Shodno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P</w:t>
      </w:r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>ravilniku</w:t>
      </w:r>
      <w:proofErr w:type="spellEnd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o </w:t>
      </w:r>
      <w:proofErr w:type="spellStart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>transfernim</w:t>
      </w:r>
      <w:proofErr w:type="spellEnd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>cenama</w:t>
      </w:r>
      <w:proofErr w:type="spellEnd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i </w:t>
      </w:r>
      <w:proofErr w:type="spellStart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>metodama</w:t>
      </w:r>
      <w:proofErr w:type="spellEnd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>koje</w:t>
      </w:r>
      <w:proofErr w:type="spellEnd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se </w:t>
      </w:r>
      <w:proofErr w:type="spellStart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>po</w:t>
      </w:r>
      <w:proofErr w:type="spellEnd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>principu</w:t>
      </w:r>
      <w:proofErr w:type="spellEnd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„van </w:t>
      </w:r>
      <w:proofErr w:type="spellStart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>dohvata</w:t>
      </w:r>
      <w:proofErr w:type="spellEnd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>ruke</w:t>
      </w:r>
      <w:proofErr w:type="spellEnd"/>
      <w:proofErr w:type="gramStart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“ </w:t>
      </w:r>
      <w:proofErr w:type="spellStart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>primenjuju</w:t>
      </w:r>
      <w:proofErr w:type="spellEnd"/>
      <w:proofErr w:type="gramEnd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>kod</w:t>
      </w:r>
      <w:proofErr w:type="spellEnd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>utvrđivanja</w:t>
      </w:r>
      <w:proofErr w:type="spellEnd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>transakcija</w:t>
      </w:r>
      <w:proofErr w:type="spellEnd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>među</w:t>
      </w:r>
      <w:proofErr w:type="spellEnd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>povezanim</w:t>
      </w:r>
      <w:proofErr w:type="spellEnd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i/>
          <w:iCs/>
          <w:sz w:val="22"/>
          <w:szCs w:val="22"/>
        </w:rPr>
        <w:t>licima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koji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je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objavljen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u „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Službenom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glasniku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RS“,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broj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8/2014, od 29.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januara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2014.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godine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ako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obveznik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ima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transakcije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sa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jednim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povezanim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licem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koje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u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ukupnom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iznosu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nisu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vece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od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vrednosti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prometa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za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koju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je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zakonom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koji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uređuje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porez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dodatu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vrednost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propisana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obaveza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evidentiranja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za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porez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dodatu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vrednost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odnosno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nisu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veca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od 8,000,000,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obveznik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ne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sastavlja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ceo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izveštaj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vec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samo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izveštaj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u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skracenom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obliku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9E7E97" w:rsidRPr="005618DF" w:rsidRDefault="009E7E97" w:rsidP="002F7AEF">
      <w:pPr>
        <w:pStyle w:val="Standard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E7E97" w:rsidRPr="005618DF" w:rsidRDefault="009E7E97" w:rsidP="002F7AEF">
      <w:pPr>
        <w:pStyle w:val="Standard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Takodje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ako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je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transakcija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sa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povezanim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licem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jednokratna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u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godini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za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koju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se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podnosi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poreski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bil</w:t>
      </w:r>
      <w:r w:rsidR="00F41888" w:rsidRPr="005618DF">
        <w:rPr>
          <w:rFonts w:asciiTheme="minorHAnsi" w:eastAsia="Times New Roman" w:hAnsiTheme="minorHAnsi" w:cstheme="minorHAnsi"/>
          <w:sz w:val="22"/>
          <w:szCs w:val="22"/>
        </w:rPr>
        <w:t>ans</w:t>
      </w:r>
      <w:proofErr w:type="spellEnd"/>
      <w:r w:rsidR="00F41888" w:rsidRPr="005618DF">
        <w:rPr>
          <w:rFonts w:asciiTheme="minorHAnsi" w:eastAsia="Times New Roman" w:hAnsiTheme="minorHAnsi" w:cstheme="minorHAnsi"/>
          <w:sz w:val="22"/>
          <w:szCs w:val="22"/>
        </w:rPr>
        <w:t xml:space="preserve">, i da </w:t>
      </w:r>
      <w:proofErr w:type="spellStart"/>
      <w:r w:rsidR="00F41888" w:rsidRPr="005618DF">
        <w:rPr>
          <w:rFonts w:asciiTheme="minorHAnsi" w:eastAsia="Times New Roman" w:hAnsiTheme="minorHAnsi" w:cstheme="minorHAnsi"/>
          <w:sz w:val="22"/>
          <w:szCs w:val="22"/>
        </w:rPr>
        <w:t>njena</w:t>
      </w:r>
      <w:proofErr w:type="spellEnd"/>
      <w:r w:rsidR="00F41888"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F41888" w:rsidRPr="005618DF">
        <w:rPr>
          <w:rFonts w:asciiTheme="minorHAnsi" w:eastAsia="Times New Roman" w:hAnsiTheme="minorHAnsi" w:cstheme="minorHAnsi"/>
          <w:sz w:val="22"/>
          <w:szCs w:val="22"/>
        </w:rPr>
        <w:t>vredost</w:t>
      </w:r>
      <w:proofErr w:type="spellEnd"/>
      <w:r w:rsidR="00F41888"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F41888" w:rsidRPr="005618DF">
        <w:rPr>
          <w:rFonts w:asciiTheme="minorHAnsi" w:eastAsia="Times New Roman" w:hAnsiTheme="minorHAnsi" w:cstheme="minorHAnsi"/>
          <w:sz w:val="22"/>
          <w:szCs w:val="22"/>
        </w:rPr>
        <w:t>nije</w:t>
      </w:r>
      <w:proofErr w:type="spellEnd"/>
      <w:r w:rsidR="00F41888"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F41888" w:rsidRPr="005618DF">
        <w:rPr>
          <w:rFonts w:asciiTheme="minorHAnsi" w:eastAsia="Times New Roman" w:hAnsiTheme="minorHAnsi" w:cstheme="minorHAnsi"/>
          <w:sz w:val="22"/>
          <w:szCs w:val="22"/>
        </w:rPr>
        <w:t>već</w:t>
      </w:r>
      <w:r w:rsidRPr="005618DF">
        <w:rPr>
          <w:rFonts w:asciiTheme="minorHAnsi" w:eastAsia="Times New Roman" w:hAnsiTheme="minorHAnsi" w:cstheme="minorHAnsi"/>
          <w:sz w:val="22"/>
          <w:szCs w:val="22"/>
        </w:rPr>
        <w:t>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od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vrednosti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prometa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za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koju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je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zakonom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koji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uređuje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porez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dodatu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vrednost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propisana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obaveza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evidentiranja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za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porez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d</w:t>
      </w:r>
      <w:r w:rsidR="00F41888" w:rsidRPr="005618DF">
        <w:rPr>
          <w:rFonts w:asciiTheme="minorHAnsi" w:eastAsia="Times New Roman" w:hAnsiTheme="minorHAnsi" w:cstheme="minorHAnsi"/>
          <w:sz w:val="22"/>
          <w:szCs w:val="22"/>
        </w:rPr>
        <w:t>odatu</w:t>
      </w:r>
      <w:proofErr w:type="spellEnd"/>
      <w:r w:rsidR="00F41888"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F41888" w:rsidRPr="005618DF">
        <w:rPr>
          <w:rFonts w:asciiTheme="minorHAnsi" w:eastAsia="Times New Roman" w:hAnsiTheme="minorHAnsi" w:cstheme="minorHAnsi"/>
          <w:sz w:val="22"/>
          <w:szCs w:val="22"/>
        </w:rPr>
        <w:t>vrednost</w:t>
      </w:r>
      <w:proofErr w:type="spellEnd"/>
      <w:r w:rsidR="00F41888" w:rsidRPr="005618D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="00F41888" w:rsidRPr="005618DF">
        <w:rPr>
          <w:rFonts w:asciiTheme="minorHAnsi" w:eastAsia="Times New Roman" w:hAnsiTheme="minorHAnsi" w:cstheme="minorHAnsi"/>
          <w:sz w:val="22"/>
          <w:szCs w:val="22"/>
        </w:rPr>
        <w:t>odnosno</w:t>
      </w:r>
      <w:proofErr w:type="spellEnd"/>
      <w:r w:rsidR="00F41888"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F41888" w:rsidRPr="005618DF">
        <w:rPr>
          <w:rFonts w:asciiTheme="minorHAnsi" w:eastAsia="Times New Roman" w:hAnsiTheme="minorHAnsi" w:cstheme="minorHAnsi"/>
          <w:sz w:val="22"/>
          <w:szCs w:val="22"/>
        </w:rPr>
        <w:t>nije</w:t>
      </w:r>
      <w:proofErr w:type="spellEnd"/>
      <w:r w:rsidR="00F41888"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F41888" w:rsidRPr="005618DF">
        <w:rPr>
          <w:rFonts w:asciiTheme="minorHAnsi" w:eastAsia="Times New Roman" w:hAnsiTheme="minorHAnsi" w:cstheme="minorHAnsi"/>
          <w:sz w:val="22"/>
          <w:szCs w:val="22"/>
        </w:rPr>
        <w:t>ve</w:t>
      </w:r>
      <w:proofErr w:type="spellEnd"/>
      <w:r w:rsidR="00F41888" w:rsidRPr="005618DF">
        <w:rPr>
          <w:rFonts w:asciiTheme="minorHAnsi" w:eastAsia="Times New Roman" w:hAnsiTheme="minorHAnsi" w:cstheme="minorHAnsi"/>
          <w:sz w:val="22"/>
          <w:szCs w:val="22"/>
          <w:lang w:val="sr-Latn-RS"/>
        </w:rPr>
        <w:t>ć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od 8,000,000,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obeznik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sastavlja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i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podnosi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poreskoj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upravi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uz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F41888" w:rsidRPr="005618DF">
        <w:rPr>
          <w:rFonts w:asciiTheme="minorHAnsi" w:eastAsia="Times New Roman" w:hAnsiTheme="minorHAnsi" w:cstheme="minorHAnsi"/>
          <w:sz w:val="22"/>
          <w:szCs w:val="22"/>
        </w:rPr>
        <w:t>poreski</w:t>
      </w:r>
      <w:proofErr w:type="spellEnd"/>
      <w:r w:rsidR="00F41888"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F41888" w:rsidRPr="005618DF">
        <w:rPr>
          <w:rFonts w:asciiTheme="minorHAnsi" w:eastAsia="Times New Roman" w:hAnsiTheme="minorHAnsi" w:cstheme="minorHAnsi"/>
          <w:sz w:val="22"/>
          <w:szCs w:val="22"/>
        </w:rPr>
        <w:t>bilans</w:t>
      </w:r>
      <w:proofErr w:type="spellEnd"/>
      <w:r w:rsidR="00F41888"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F41888" w:rsidRPr="005618DF">
        <w:rPr>
          <w:rFonts w:asciiTheme="minorHAnsi" w:eastAsia="Times New Roman" w:hAnsiTheme="minorHAnsi" w:cstheme="minorHAnsi"/>
          <w:sz w:val="22"/>
          <w:szCs w:val="22"/>
        </w:rPr>
        <w:t>izveštaj</w:t>
      </w:r>
      <w:proofErr w:type="spellEnd"/>
      <w:r w:rsidR="00F41888" w:rsidRPr="005618DF">
        <w:rPr>
          <w:rFonts w:asciiTheme="minorHAnsi" w:eastAsia="Times New Roman" w:hAnsiTheme="minorHAnsi" w:cstheme="minorHAnsi"/>
          <w:sz w:val="22"/>
          <w:szCs w:val="22"/>
        </w:rPr>
        <w:t xml:space="preserve">  u </w:t>
      </w:r>
      <w:proofErr w:type="spellStart"/>
      <w:r w:rsidR="00F41888" w:rsidRPr="005618DF">
        <w:rPr>
          <w:rFonts w:asciiTheme="minorHAnsi" w:eastAsia="Times New Roman" w:hAnsiTheme="minorHAnsi" w:cstheme="minorHAnsi"/>
          <w:sz w:val="22"/>
          <w:szCs w:val="22"/>
        </w:rPr>
        <w:t>skrać</w:t>
      </w:r>
      <w:r w:rsidRPr="005618DF">
        <w:rPr>
          <w:rFonts w:asciiTheme="minorHAnsi" w:eastAsia="Times New Roman" w:hAnsiTheme="minorHAnsi" w:cstheme="minorHAnsi"/>
          <w:sz w:val="22"/>
          <w:szCs w:val="22"/>
        </w:rPr>
        <w:t>enom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obliku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9E7E97" w:rsidRPr="005618DF" w:rsidRDefault="009E7E97">
      <w:pPr>
        <w:widowControl/>
        <w:suppressAutoHyphens w:val="0"/>
        <w:autoSpaceDN/>
        <w:rPr>
          <w:rFonts w:asciiTheme="minorHAnsi" w:eastAsia="Times New Roman" w:hAnsiTheme="minorHAnsi" w:cstheme="minorHAnsi"/>
          <w:color w:val="000000"/>
        </w:rPr>
      </w:pPr>
      <w:r w:rsidRPr="005618DF">
        <w:rPr>
          <w:rFonts w:asciiTheme="minorHAnsi" w:eastAsia="Times New Roman" w:hAnsiTheme="minorHAnsi" w:cstheme="minorHAnsi"/>
        </w:rPr>
        <w:br w:type="page"/>
      </w:r>
    </w:p>
    <w:p w:rsidR="009E7E97" w:rsidRPr="005618DF" w:rsidRDefault="009E7E97" w:rsidP="009E7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0224D8" w:rsidRPr="005618DF" w:rsidRDefault="000224D8" w:rsidP="000224D8">
      <w:pPr>
        <w:pStyle w:val="Standard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0224D8" w:rsidRPr="005618DF" w:rsidRDefault="003B2769" w:rsidP="003B276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618DF">
        <w:rPr>
          <w:rFonts w:asciiTheme="minorHAnsi" w:hAnsiTheme="minorHAnsi" w:cstheme="minorHAnsi"/>
          <w:b/>
          <w:sz w:val="22"/>
          <w:szCs w:val="22"/>
          <w:lang w:val="sl-SI"/>
        </w:rPr>
        <w:t>Sadrzina Izveštaja</w:t>
      </w:r>
    </w:p>
    <w:p w:rsidR="000224D8" w:rsidRPr="005618DF" w:rsidRDefault="000224D8" w:rsidP="00AF6777">
      <w:pPr>
        <w:pStyle w:val="Standard"/>
        <w:ind w:left="708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Transakcije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sa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9E7E97" w:rsidRPr="005618DF">
        <w:rPr>
          <w:rFonts w:asciiTheme="minorHAnsi" w:eastAsia="Times New Roman" w:hAnsiTheme="minorHAnsi" w:cstheme="minorHAnsi"/>
          <w:sz w:val="22"/>
          <w:szCs w:val="22"/>
        </w:rPr>
        <w:t>povezanim</w:t>
      </w:r>
      <w:proofErr w:type="spellEnd"/>
      <w:r w:rsidR="009E7E97"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9E7E97" w:rsidRPr="005618DF">
        <w:rPr>
          <w:rFonts w:asciiTheme="minorHAnsi" w:eastAsia="Times New Roman" w:hAnsiTheme="minorHAnsi" w:cstheme="minorHAnsi"/>
          <w:sz w:val="22"/>
          <w:szCs w:val="22"/>
        </w:rPr>
        <w:t>licma</w:t>
      </w:r>
      <w:proofErr w:type="spellEnd"/>
      <w:r w:rsidR="009E7E97" w:rsidRPr="005618DF">
        <w:rPr>
          <w:rFonts w:asciiTheme="minorHAnsi" w:eastAsia="Times New Roman" w:hAnsiTheme="minorHAnsi" w:cstheme="minorHAnsi"/>
          <w:sz w:val="22"/>
          <w:szCs w:val="22"/>
        </w:rPr>
        <w:t xml:space="preserve"> date </w:t>
      </w:r>
      <w:proofErr w:type="spellStart"/>
      <w:r w:rsidR="009E7E97" w:rsidRPr="005618DF">
        <w:rPr>
          <w:rFonts w:asciiTheme="minorHAnsi" w:eastAsia="Times New Roman" w:hAnsiTheme="minorHAnsi" w:cstheme="minorHAnsi"/>
          <w:sz w:val="22"/>
          <w:szCs w:val="22"/>
        </w:rPr>
        <w:t>su</w:t>
      </w:r>
      <w:proofErr w:type="spellEnd"/>
      <w:r w:rsidR="009E7E97" w:rsidRPr="005618DF">
        <w:rPr>
          <w:rFonts w:asciiTheme="minorHAnsi" w:eastAsia="Times New Roman" w:hAnsiTheme="minorHAnsi" w:cstheme="minorHAnsi"/>
          <w:sz w:val="22"/>
          <w:szCs w:val="22"/>
        </w:rPr>
        <w:t xml:space="preserve"> u </w:t>
      </w:r>
      <w:proofErr w:type="spellStart"/>
      <w:r w:rsidR="009E7E97" w:rsidRPr="005618DF">
        <w:rPr>
          <w:rFonts w:asciiTheme="minorHAnsi" w:eastAsia="Times New Roman" w:hAnsiTheme="minorHAnsi" w:cstheme="minorHAnsi"/>
          <w:sz w:val="22"/>
          <w:szCs w:val="22"/>
        </w:rPr>
        <w:t>sledeć</w:t>
      </w:r>
      <w:r w:rsidRPr="005618DF">
        <w:rPr>
          <w:rFonts w:asciiTheme="minorHAnsi" w:eastAsia="Times New Roman" w:hAnsiTheme="minorHAnsi" w:cstheme="minorHAnsi"/>
          <w:sz w:val="22"/>
          <w:szCs w:val="22"/>
        </w:rPr>
        <w:t>oj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eastAsia="Times New Roman" w:hAnsiTheme="minorHAnsi" w:cstheme="minorHAnsi"/>
          <w:sz w:val="22"/>
          <w:szCs w:val="22"/>
        </w:rPr>
        <w:t>tabeli</w:t>
      </w:r>
      <w:proofErr w:type="spellEnd"/>
      <w:r w:rsidRPr="005618DF">
        <w:rPr>
          <w:rFonts w:asciiTheme="minorHAnsi" w:eastAsia="Times New Roman" w:hAnsiTheme="minorHAnsi" w:cstheme="minorHAnsi"/>
          <w:sz w:val="22"/>
          <w:szCs w:val="22"/>
        </w:rPr>
        <w:t xml:space="preserve"> :</w:t>
      </w:r>
    </w:p>
    <w:p w:rsidR="000224D8" w:rsidRPr="005618DF" w:rsidRDefault="000224D8" w:rsidP="000224D8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224D8" w:rsidRPr="005618DF" w:rsidRDefault="000224D8" w:rsidP="000224D8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8363" w:type="dxa"/>
        <w:tblInd w:w="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4677"/>
      </w:tblGrid>
      <w:tr w:rsidR="000224D8" w:rsidRPr="005618DF" w:rsidTr="003B2769">
        <w:trPr>
          <w:trHeight w:val="30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777" w:rsidRPr="005618DF" w:rsidRDefault="00AF6777">
            <w:pPr>
              <w:pStyle w:val="Standard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>Transakcija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24D8" w:rsidRPr="005618DF" w:rsidRDefault="000224D8">
            <w:pPr>
              <w:pStyle w:val="Standard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5618DF">
              <w:rPr>
                <w:rFonts w:asciiTheme="minorHAnsi" w:eastAsia="Times New Roman" w:hAnsiTheme="minorHAnsi" w:cstheme="minorHAns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0224D8" w:rsidRPr="005618DF" w:rsidTr="003B276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4D8" w:rsidRPr="005618DF" w:rsidRDefault="000224D8">
            <w:pPr>
              <w:pStyle w:val="Standard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>Opis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>transakcije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24D8" w:rsidRDefault="003B2769" w:rsidP="009E7E97">
            <w:pPr>
              <w:pStyle w:val="Standard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>Pružanje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>usluga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>servisa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>mašina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>posredovanja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>prilikom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>prodaje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>mašina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>opreme</w:t>
            </w:r>
            <w:proofErr w:type="spellEnd"/>
          </w:p>
          <w:p w:rsidR="002F7AEF" w:rsidRDefault="002F7AEF" w:rsidP="009E7E97">
            <w:pPr>
              <w:pStyle w:val="Standard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2F7AEF" w:rsidRDefault="002F7AEF" w:rsidP="009E7E97">
            <w:pPr>
              <w:pStyle w:val="Standard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XXXXXXXXXXXXXXXXXXXXXXXXXXXXXXXXXXXXXXXXXXXXXXXXXXXXXXXXXXXXXXXXXXXXXXXXXXXXXXXXXXXXXXXXXXXXXXXXXXXXXXXXXXXXXXXXXXXXXXXXXXXXXXXXXXXXXXXXXXXXXXXXXXXXXXXXXXXXXXXXXXXXXXXXXXXXXXXXXXXXXXXXXXXXXXXXXXX</w:t>
            </w:r>
          </w:p>
          <w:p w:rsidR="002F7AEF" w:rsidRDefault="002F7AEF" w:rsidP="009E7E97">
            <w:pPr>
              <w:pStyle w:val="Standard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2F7AEF" w:rsidRDefault="002F7AEF" w:rsidP="009E7E97">
            <w:pPr>
              <w:pStyle w:val="Standard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Ugovor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: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br</w:t>
            </w:r>
            <w:proofErr w:type="spellEnd"/>
          </w:p>
          <w:p w:rsidR="002F7AEF" w:rsidRPr="005618DF" w:rsidRDefault="002F7AEF" w:rsidP="009E7E97">
            <w:pPr>
              <w:pStyle w:val="Standard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Faktura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br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0224D8" w:rsidRPr="005618DF" w:rsidTr="002F7AE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8" w:rsidRPr="005618DF" w:rsidRDefault="000224D8">
            <w:pPr>
              <w:pStyle w:val="Standard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>Vrednost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>Transakcije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24D8" w:rsidRPr="005618DF" w:rsidRDefault="002F7AEF">
            <w:pPr>
              <w:pStyle w:val="Standard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4</w:t>
            </w:r>
            <w:r w:rsidR="003B2769"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>.520.000</w:t>
            </w:r>
            <w:r w:rsidR="000224D8"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224D8"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>dinara</w:t>
            </w:r>
            <w:proofErr w:type="spellEnd"/>
          </w:p>
        </w:tc>
      </w:tr>
      <w:tr w:rsidR="000224D8" w:rsidRPr="005618DF" w:rsidTr="002F7AEF">
        <w:trPr>
          <w:trHeight w:val="30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D8" w:rsidRPr="005618DF" w:rsidRDefault="000224D8">
            <w:pPr>
              <w:pStyle w:val="Standard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>Povezano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AF6777"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lice </w:t>
            </w:r>
            <w:proofErr w:type="spellStart"/>
            <w:r w:rsidR="00AF6777"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>sa</w:t>
            </w:r>
            <w:proofErr w:type="spellEnd"/>
            <w:r w:rsidR="00AF6777"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F6777"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>kojim</w:t>
            </w:r>
            <w:proofErr w:type="spellEnd"/>
            <w:r w:rsidR="00AF6777"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je </w:t>
            </w:r>
            <w:proofErr w:type="spellStart"/>
            <w:r w:rsidR="00AF6777"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>transakcija</w:t>
            </w:r>
            <w:proofErr w:type="spellEnd"/>
            <w:r w:rsidR="00AF6777"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F6777"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>vrš</w:t>
            </w:r>
            <w:r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>ena</w:t>
            </w:r>
            <w:proofErr w:type="spellEnd"/>
          </w:p>
        </w:tc>
        <w:tc>
          <w:tcPr>
            <w:tcW w:w="4677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24D8" w:rsidRPr="005618DF" w:rsidRDefault="00AF6777" w:rsidP="002F7AEF">
            <w:pPr>
              <w:pStyle w:val="Standard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="002F7AE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ZZZZZZ </w:t>
            </w:r>
            <w:r w:rsidR="003B2769"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B2769"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>d.o.o</w:t>
            </w:r>
            <w:proofErr w:type="spellEnd"/>
            <w:r w:rsidR="003B2769" w:rsidRPr="005618DF">
              <w:rPr>
                <w:rFonts w:asciiTheme="minorHAnsi" w:eastAsia="Times New Roman" w:hAnsiTheme="minorHAnsi" w:cstheme="minorHAnsi"/>
                <w:sz w:val="22"/>
                <w:szCs w:val="22"/>
              </w:rPr>
              <w:t>. Beograd</w:t>
            </w:r>
          </w:p>
        </w:tc>
      </w:tr>
      <w:tr w:rsidR="002F7AEF" w:rsidRPr="005618DF" w:rsidTr="002F7AE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AEF" w:rsidRPr="005618DF" w:rsidRDefault="002F7AEF">
            <w:pPr>
              <w:pStyle w:val="Standard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Osnov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povezanosti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AEF" w:rsidRPr="005770B1" w:rsidRDefault="002F7AEF" w:rsidP="002F7AEF">
            <w:pPr>
              <w:pStyle w:val="Standard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Član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59.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Stav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2 i 3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Zakona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porezu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na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dobit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pravnih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lica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: </w:t>
            </w:r>
          </w:p>
          <w:p w:rsidR="002F7AEF" w:rsidRPr="005770B1" w:rsidRDefault="002F7AEF" w:rsidP="002F7AEF">
            <w:pPr>
              <w:pStyle w:val="Standard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Licem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povezanim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sa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obvezikom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smatra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se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ono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fizičko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ili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pravno</w:t>
            </w:r>
            <w:proofErr w:type="spellEnd"/>
            <w:proofErr w:type="gram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lice u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čijiim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se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odnosima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sa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obveznikom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javlja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mogućnost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kontrole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ili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značajnijeg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uticaja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na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poslovne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odluke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U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slučaju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posrednog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ili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neposrednog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posedovanja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najmanje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25%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akcija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ili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udela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smatra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se da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postoji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mogućnost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kontrole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nad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obveznikom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:rsidR="002F7AEF" w:rsidRPr="005618DF" w:rsidRDefault="002F7AEF" w:rsidP="002F7AEF">
            <w:pPr>
              <w:pStyle w:val="Standard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ZZZZZ</w:t>
            </w:r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poseduje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100%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udela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nad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>društvom</w:t>
            </w:r>
            <w:proofErr w:type="spellEnd"/>
            <w:r w:rsidRPr="005770B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XZY</w:t>
            </w:r>
          </w:p>
        </w:tc>
      </w:tr>
    </w:tbl>
    <w:p w:rsidR="00AF6777" w:rsidRPr="005618DF" w:rsidRDefault="00AF6777" w:rsidP="00AF6777">
      <w:pPr>
        <w:widowControl/>
        <w:suppressAutoHyphens w:val="0"/>
        <w:autoSpaceDN/>
        <w:rPr>
          <w:rFonts w:asciiTheme="minorHAnsi" w:eastAsia="Times New Roman" w:hAnsiTheme="minorHAnsi" w:cstheme="minorHAnsi"/>
          <w:color w:val="000000"/>
        </w:rPr>
      </w:pPr>
    </w:p>
    <w:p w:rsidR="000224D8" w:rsidRPr="005618DF" w:rsidRDefault="000224D8" w:rsidP="000224D8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2F7AEF" w:rsidRDefault="002F7AEF">
      <w:pPr>
        <w:widowControl/>
        <w:suppressAutoHyphens w:val="0"/>
        <w:autoSpaceDN/>
        <w:rPr>
          <w:rFonts w:asciiTheme="minorHAnsi" w:hAnsiTheme="minorHAnsi" w:cstheme="minorHAnsi"/>
          <w:b/>
          <w:lang w:val="sl-SI"/>
        </w:rPr>
      </w:pPr>
      <w:r>
        <w:rPr>
          <w:rFonts w:asciiTheme="minorHAnsi" w:hAnsiTheme="minorHAnsi" w:cstheme="minorHAnsi"/>
          <w:b/>
          <w:lang w:val="sl-SI"/>
        </w:rPr>
        <w:br w:type="page"/>
      </w:r>
    </w:p>
    <w:p w:rsidR="002F7AEF" w:rsidRDefault="002F7AEF">
      <w:pPr>
        <w:widowControl/>
        <w:suppressAutoHyphens w:val="0"/>
        <w:autoSpaceDN/>
        <w:rPr>
          <w:rFonts w:asciiTheme="minorHAnsi" w:hAnsiTheme="minorHAnsi" w:cstheme="minorHAnsi"/>
          <w:b/>
          <w:lang w:val="sl-SI"/>
        </w:rPr>
      </w:pPr>
    </w:p>
    <w:p w:rsidR="000224D8" w:rsidRPr="005618DF" w:rsidRDefault="000224D8" w:rsidP="003B276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618DF">
        <w:rPr>
          <w:rFonts w:asciiTheme="minorHAnsi" w:hAnsiTheme="minorHAnsi" w:cstheme="minorHAnsi"/>
          <w:b/>
          <w:sz w:val="22"/>
          <w:szCs w:val="22"/>
          <w:lang w:val="sl-SI"/>
        </w:rPr>
        <w:t>Efekti na poreski bilans:</w:t>
      </w:r>
    </w:p>
    <w:p w:rsidR="000224D8" w:rsidRPr="005618DF" w:rsidRDefault="000224D8" w:rsidP="000224D8">
      <w:pPr>
        <w:pStyle w:val="Standard"/>
        <w:ind w:left="90"/>
        <w:rPr>
          <w:rFonts w:asciiTheme="minorHAnsi" w:hAnsiTheme="minorHAnsi" w:cstheme="minorHAnsi"/>
          <w:sz w:val="22"/>
          <w:szCs w:val="22"/>
        </w:rPr>
      </w:pPr>
    </w:p>
    <w:p w:rsidR="000224D8" w:rsidRPr="005618DF" w:rsidRDefault="000224D8" w:rsidP="00AF6777">
      <w:pPr>
        <w:pStyle w:val="Standard"/>
        <w:ind w:left="708"/>
        <w:rPr>
          <w:rFonts w:asciiTheme="minorHAnsi" w:hAnsiTheme="minorHAnsi" w:cstheme="minorHAnsi"/>
          <w:sz w:val="22"/>
          <w:szCs w:val="22"/>
        </w:rPr>
      </w:pPr>
      <w:r w:rsidRPr="005618DF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5618DF">
        <w:rPr>
          <w:rFonts w:asciiTheme="minorHAnsi" w:hAnsiTheme="minorHAnsi" w:cstheme="minorHAnsi"/>
          <w:sz w:val="22"/>
          <w:szCs w:val="22"/>
        </w:rPr>
        <w:t>obrazac</w:t>
      </w:r>
      <w:proofErr w:type="spellEnd"/>
      <w:r w:rsidRPr="005618DF">
        <w:rPr>
          <w:rFonts w:asciiTheme="minorHAnsi" w:hAnsiTheme="minorHAnsi" w:cstheme="minorHAnsi"/>
          <w:sz w:val="22"/>
          <w:szCs w:val="22"/>
        </w:rPr>
        <w:t xml:space="preserve"> PB1 </w:t>
      </w:r>
      <w:proofErr w:type="spellStart"/>
      <w:r w:rsidRPr="005618DF">
        <w:rPr>
          <w:rFonts w:asciiTheme="minorHAnsi" w:hAnsiTheme="minorHAnsi" w:cstheme="minorHAnsi"/>
          <w:sz w:val="22"/>
          <w:szCs w:val="22"/>
        </w:rPr>
        <w:t>treba</w:t>
      </w:r>
      <w:proofErr w:type="spellEnd"/>
      <w:r w:rsidRPr="00561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hAnsiTheme="minorHAnsi" w:cstheme="minorHAnsi"/>
          <w:sz w:val="22"/>
          <w:szCs w:val="22"/>
        </w:rPr>
        <w:t>uneti</w:t>
      </w:r>
      <w:proofErr w:type="spellEnd"/>
      <w:r w:rsidRPr="00561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hAnsiTheme="minorHAnsi" w:cstheme="minorHAnsi"/>
          <w:sz w:val="22"/>
          <w:szCs w:val="22"/>
        </w:rPr>
        <w:t>sledeće</w:t>
      </w:r>
      <w:proofErr w:type="spellEnd"/>
      <w:r w:rsidRPr="00561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18DF">
        <w:rPr>
          <w:rFonts w:asciiTheme="minorHAnsi" w:hAnsiTheme="minorHAnsi" w:cstheme="minorHAnsi"/>
          <w:sz w:val="22"/>
          <w:szCs w:val="22"/>
        </w:rPr>
        <w:t>pozicije</w:t>
      </w:r>
      <w:proofErr w:type="spellEnd"/>
      <w:r w:rsidRPr="005618DF">
        <w:rPr>
          <w:rFonts w:asciiTheme="minorHAnsi" w:hAnsiTheme="minorHAnsi" w:cstheme="minorHAnsi"/>
          <w:sz w:val="22"/>
          <w:szCs w:val="22"/>
        </w:rPr>
        <w:t>:</w:t>
      </w:r>
    </w:p>
    <w:p w:rsidR="000224D8" w:rsidRPr="005618DF" w:rsidRDefault="000224D8" w:rsidP="000224D8">
      <w:pPr>
        <w:pStyle w:val="Standard"/>
        <w:jc w:val="right"/>
        <w:rPr>
          <w:rFonts w:asciiTheme="minorHAnsi" w:eastAsia="Times New Roman" w:hAnsiTheme="minorHAnsi" w:cstheme="minorHAnsi"/>
          <w:color w:val="1F497D"/>
          <w:sz w:val="22"/>
          <w:szCs w:val="22"/>
          <w:lang w:val="ru-RU"/>
        </w:rPr>
      </w:pPr>
      <w:r w:rsidRPr="005618DF">
        <w:rPr>
          <w:rFonts w:asciiTheme="minorHAnsi" w:eastAsia="Times New Roman" w:hAnsiTheme="minorHAnsi" w:cstheme="minorHAnsi"/>
          <w:color w:val="1F497D"/>
          <w:sz w:val="22"/>
          <w:szCs w:val="22"/>
          <w:lang w:val="ru-RU"/>
        </w:rPr>
        <w:t> </w:t>
      </w:r>
    </w:p>
    <w:tbl>
      <w:tblPr>
        <w:tblW w:w="8363" w:type="dxa"/>
        <w:tblInd w:w="817" w:type="dxa"/>
        <w:tblLook w:val="04A0" w:firstRow="1" w:lastRow="0" w:firstColumn="1" w:lastColumn="0" w:noHBand="0" w:noVBand="1"/>
      </w:tblPr>
      <w:tblGrid>
        <w:gridCol w:w="567"/>
        <w:gridCol w:w="5954"/>
        <w:gridCol w:w="1842"/>
      </w:tblGrid>
      <w:tr w:rsidR="000224D8" w:rsidRPr="005618DF" w:rsidTr="00AF6777">
        <w:trPr>
          <w:trHeight w:val="6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4D8" w:rsidRPr="005618DF" w:rsidRDefault="000224D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F497D"/>
              </w:rPr>
            </w:pPr>
            <w:r w:rsidRPr="005618DF">
              <w:rPr>
                <w:rFonts w:asciiTheme="minorHAnsi" w:eastAsia="Times New Roman" w:hAnsiTheme="minorHAnsi" w:cstheme="minorHAnsi"/>
                <w:color w:val="1F497D"/>
                <w:lang w:val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4D8" w:rsidRPr="005618DF" w:rsidRDefault="000224D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V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Rashodi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i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prihodi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po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osnovu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transfernih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cena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(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osim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kamata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na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zajmove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,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odnosno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kredite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4D8" w:rsidRPr="005618DF" w:rsidRDefault="000224D8" w:rsidP="004B76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 </w:t>
            </w:r>
          </w:p>
        </w:tc>
      </w:tr>
      <w:tr w:rsidR="000224D8" w:rsidRPr="005618DF" w:rsidTr="00AF6777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4D8" w:rsidRPr="005618DF" w:rsidRDefault="000224D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4D8" w:rsidRPr="005618DF" w:rsidRDefault="000224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Obra</w:t>
            </w:r>
            <w:r w:rsidRPr="005618DF">
              <w:rPr>
                <w:rFonts w:asciiTheme="minorHAnsi" w:eastAsia="Times New Roman" w:hAnsiTheme="minorHAnsi" w:cstheme="minorHAnsi"/>
                <w:color w:val="000000"/>
              </w:rPr>
              <w:t>č</w:t>
            </w: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unati tro</w:t>
            </w:r>
            <w:r w:rsidRPr="005618DF">
              <w:rPr>
                <w:rFonts w:asciiTheme="minorHAnsi" w:eastAsia="Times New Roman" w:hAnsiTheme="minorHAnsi" w:cstheme="minorHAnsi"/>
                <w:color w:val="000000"/>
              </w:rPr>
              <w:t>š</w:t>
            </w: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kovi po osnovu transfernih cena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4D8" w:rsidRPr="005618DF" w:rsidRDefault="00AF6777" w:rsidP="004B76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618DF">
              <w:rPr>
                <w:rFonts w:asciiTheme="minorHAnsi" w:eastAsia="Times New Roman" w:hAnsiTheme="minorHAnsi" w:cstheme="minorHAnsi"/>
                <w:color w:val="000000"/>
              </w:rPr>
              <w:t>0</w:t>
            </w:r>
          </w:p>
        </w:tc>
      </w:tr>
      <w:tr w:rsidR="000224D8" w:rsidRPr="005618DF" w:rsidTr="00AF6777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4D8" w:rsidRPr="005618DF" w:rsidRDefault="000224D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4D8" w:rsidRPr="005618DF" w:rsidRDefault="000224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Obra</w:t>
            </w:r>
            <w:r w:rsidRPr="005618DF">
              <w:rPr>
                <w:rFonts w:asciiTheme="minorHAnsi" w:eastAsia="Times New Roman" w:hAnsiTheme="minorHAnsi" w:cstheme="minorHAnsi"/>
                <w:color w:val="000000"/>
              </w:rPr>
              <w:t>č</w:t>
            </w: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unati tro</w:t>
            </w:r>
            <w:r w:rsidRPr="005618DF">
              <w:rPr>
                <w:rFonts w:asciiTheme="minorHAnsi" w:eastAsia="Times New Roman" w:hAnsiTheme="minorHAnsi" w:cstheme="minorHAnsi"/>
                <w:color w:val="000000"/>
              </w:rPr>
              <w:t>š</w:t>
            </w: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kovi po osnovu transfernih cena za koje se podnosi izveštaj u skra</w:t>
            </w:r>
            <w:r w:rsidRPr="005618DF">
              <w:rPr>
                <w:rFonts w:asciiTheme="minorHAnsi" w:eastAsia="Times New Roman" w:hAnsiTheme="minorHAnsi" w:cstheme="minorHAnsi"/>
                <w:color w:val="000000"/>
              </w:rPr>
              <w:t>ć</w:t>
            </w: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enom obliku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4D8" w:rsidRPr="005618DF" w:rsidRDefault="00AF6777" w:rsidP="004B76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618DF">
              <w:rPr>
                <w:rFonts w:asciiTheme="minorHAnsi" w:eastAsia="Times New Roman" w:hAnsiTheme="minorHAnsi" w:cstheme="minorHAnsi"/>
                <w:color w:val="000000"/>
              </w:rPr>
              <w:t>0</w:t>
            </w:r>
          </w:p>
        </w:tc>
      </w:tr>
      <w:tr w:rsidR="000224D8" w:rsidRPr="005618DF" w:rsidTr="00AF6777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4D8" w:rsidRPr="005618DF" w:rsidRDefault="000224D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4D8" w:rsidRPr="005618DF" w:rsidRDefault="000224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Obra</w:t>
            </w:r>
            <w:r w:rsidRPr="005618DF">
              <w:rPr>
                <w:rFonts w:asciiTheme="minorHAnsi" w:eastAsia="Times New Roman" w:hAnsiTheme="minorHAnsi" w:cstheme="minorHAnsi"/>
                <w:color w:val="000000"/>
              </w:rPr>
              <w:t>č</w:t>
            </w: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unati prihodi po osnovu transfernih cena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4D8" w:rsidRPr="005618DF" w:rsidRDefault="002F7AEF" w:rsidP="004B76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</w:t>
            </w:r>
            <w:r w:rsidR="003B2769" w:rsidRPr="005618DF">
              <w:rPr>
                <w:rFonts w:asciiTheme="minorHAnsi" w:eastAsia="Times New Roman" w:hAnsiTheme="minorHAnsi" w:cstheme="minorHAnsi"/>
                <w:color w:val="000000"/>
              </w:rPr>
              <w:t>.520.000</w:t>
            </w:r>
          </w:p>
        </w:tc>
      </w:tr>
      <w:tr w:rsidR="000224D8" w:rsidRPr="005618DF" w:rsidTr="00AF6777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4D8" w:rsidRPr="005618DF" w:rsidRDefault="000224D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4D8" w:rsidRPr="005618DF" w:rsidRDefault="000224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Obra</w:t>
            </w:r>
            <w:r w:rsidRPr="005618DF">
              <w:rPr>
                <w:rFonts w:asciiTheme="minorHAnsi" w:eastAsia="Times New Roman" w:hAnsiTheme="minorHAnsi" w:cstheme="minorHAnsi"/>
                <w:color w:val="000000"/>
              </w:rPr>
              <w:t>č</w:t>
            </w: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unati prihodi po osnovu transfernih cena za koje se podnosi izve</w:t>
            </w:r>
            <w:r w:rsidRPr="005618DF">
              <w:rPr>
                <w:rFonts w:asciiTheme="minorHAnsi" w:eastAsia="Times New Roman" w:hAnsiTheme="minorHAnsi" w:cstheme="minorHAnsi"/>
                <w:color w:val="000000"/>
              </w:rPr>
              <w:t>š</w:t>
            </w: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taj u skra</w:t>
            </w:r>
            <w:r w:rsidRPr="005618DF">
              <w:rPr>
                <w:rFonts w:asciiTheme="minorHAnsi" w:eastAsia="Times New Roman" w:hAnsiTheme="minorHAnsi" w:cstheme="minorHAnsi"/>
                <w:color w:val="000000"/>
              </w:rPr>
              <w:t>ć</w:t>
            </w: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enom obliku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4D8" w:rsidRPr="005618DF" w:rsidRDefault="003E697D" w:rsidP="004B769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5618DF">
              <w:rPr>
                <w:rFonts w:asciiTheme="minorHAnsi" w:hAnsiTheme="minorHAnsi" w:cstheme="minorHAnsi"/>
              </w:rPr>
              <w:t xml:space="preserve"> </w:t>
            </w:r>
            <w:r w:rsidR="002F7AEF">
              <w:rPr>
                <w:rFonts w:asciiTheme="minorHAnsi" w:eastAsia="Times New Roman" w:hAnsiTheme="minorHAnsi" w:cstheme="minorHAnsi"/>
                <w:color w:val="000000"/>
              </w:rPr>
              <w:t>4</w:t>
            </w:r>
            <w:r w:rsidR="003B2769" w:rsidRPr="005618DF">
              <w:rPr>
                <w:rFonts w:asciiTheme="minorHAnsi" w:eastAsia="Times New Roman" w:hAnsiTheme="minorHAnsi" w:cstheme="minorHAnsi"/>
                <w:color w:val="000000"/>
              </w:rPr>
              <w:t>.520.000</w:t>
            </w:r>
          </w:p>
        </w:tc>
      </w:tr>
      <w:tr w:rsidR="000224D8" w:rsidRPr="005618DF" w:rsidTr="00AF677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4D8" w:rsidRPr="005618DF" w:rsidRDefault="000224D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F497D"/>
              </w:rPr>
            </w:pPr>
            <w:r w:rsidRPr="005618DF">
              <w:rPr>
                <w:rFonts w:asciiTheme="minorHAnsi" w:eastAsia="Times New Roman" w:hAnsiTheme="minorHAnsi" w:cstheme="minorHAnsi"/>
                <w:color w:val="1F497D"/>
                <w:lang w:val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4D8" w:rsidRPr="005618DF" w:rsidRDefault="000224D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VI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Rashodi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i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prihodi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po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osnovu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kamata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na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zajmove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odnsono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kredite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između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povezanih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lica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4D8" w:rsidRPr="005618DF" w:rsidRDefault="000224D8" w:rsidP="004B76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 </w:t>
            </w:r>
          </w:p>
        </w:tc>
      </w:tr>
      <w:tr w:rsidR="000224D8" w:rsidRPr="005618DF" w:rsidTr="00AF677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4D8" w:rsidRPr="005618DF" w:rsidRDefault="000224D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618DF">
              <w:rPr>
                <w:rFonts w:asciiTheme="minorHAnsi" w:eastAsia="Times New Roman" w:hAnsiTheme="minorHAnsi" w:cstheme="minorHAnsi"/>
                <w:color w:val="000000"/>
                <w:lang w:val="sr-Cyrl-CS"/>
              </w:rPr>
              <w:t>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4D8" w:rsidRPr="005618DF" w:rsidRDefault="000224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Obračunati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rashodi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po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osnovu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kamata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 ("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na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dohvat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ruke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")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na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zajmove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odnosno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kredite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dobijene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od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povezanih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lica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4D8" w:rsidRPr="005618DF" w:rsidRDefault="000224D8" w:rsidP="004B76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         </w:t>
            </w:r>
            <w:r w:rsidR="00AF6777"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                              </w:t>
            </w:r>
            <w:r w:rsidR="00AF6777" w:rsidRPr="005618DF">
              <w:rPr>
                <w:rFonts w:asciiTheme="minorHAnsi" w:eastAsia="Times New Roman" w:hAnsiTheme="minorHAnsi" w:cstheme="minorHAnsi"/>
                <w:color w:val="000000"/>
                <w:lang w:val="sr-Latn-RS"/>
              </w:rPr>
              <w:t>0</w:t>
            </w: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  </w:t>
            </w:r>
          </w:p>
        </w:tc>
      </w:tr>
      <w:tr w:rsidR="000224D8" w:rsidRPr="005618DF" w:rsidTr="00AF6777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4D8" w:rsidRPr="005618DF" w:rsidRDefault="000224D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618DF">
              <w:rPr>
                <w:rFonts w:asciiTheme="minorHAnsi" w:eastAsia="Times New Roman" w:hAnsiTheme="minorHAnsi" w:cstheme="minorHAnsi"/>
                <w:color w:val="000000"/>
                <w:lang w:val="sr-Cyrl-CS"/>
              </w:rPr>
              <w:t>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4D8" w:rsidRPr="005618DF" w:rsidRDefault="000224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Obračunati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prihodi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po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osnovu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kamata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 ("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na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dohvat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ruke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")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na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zajmove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odnosno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kredite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odobrene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povezanim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color w:val="000000"/>
              </w:rPr>
              <w:t>licima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4D8" w:rsidRPr="005618DF" w:rsidRDefault="000224D8" w:rsidP="004B76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   </w:t>
            </w:r>
            <w:r w:rsidR="004B7691" w:rsidRPr="005618DF">
              <w:rPr>
                <w:rFonts w:asciiTheme="minorHAnsi" w:eastAsia="Times New Roman" w:hAnsiTheme="minorHAnsi" w:cstheme="minorHAnsi"/>
                <w:color w:val="000000"/>
                <w:lang w:val="sr-Latn-RS"/>
              </w:rPr>
              <w:t>0</w:t>
            </w: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     </w:t>
            </w:r>
            <w:r w:rsidR="004B7691"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                              </w:t>
            </w: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  </w:t>
            </w:r>
          </w:p>
        </w:tc>
      </w:tr>
      <w:tr w:rsidR="000224D8" w:rsidRPr="005618DF" w:rsidTr="00AF6777">
        <w:trPr>
          <w:trHeight w:val="9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4D8" w:rsidRPr="005618DF" w:rsidRDefault="000224D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1F497D"/>
              </w:rPr>
            </w:pPr>
            <w:r w:rsidRPr="005618DF">
              <w:rPr>
                <w:rFonts w:asciiTheme="minorHAnsi" w:eastAsia="Times New Roman" w:hAnsiTheme="minorHAnsi" w:cstheme="minorHAnsi"/>
                <w:color w:val="1F497D"/>
                <w:lang w:val="sr-Cyrl-CS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4D8" w:rsidRPr="005618DF" w:rsidRDefault="000224D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VII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Korekcija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rashoda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i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prihoda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po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osnovu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transfenih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cena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,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ukuljucujuci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i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kamate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na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zajmove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odnosno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kredite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između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povezanih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lica</w:t>
            </w:r>
            <w:proofErr w:type="spellEnd"/>
            <w:r w:rsidRPr="005618D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4D8" w:rsidRPr="005618DF" w:rsidRDefault="000224D8" w:rsidP="004B76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 </w:t>
            </w:r>
          </w:p>
        </w:tc>
      </w:tr>
      <w:tr w:rsidR="000224D8" w:rsidRPr="005618DF" w:rsidTr="00AF6777">
        <w:trPr>
          <w:trHeight w:val="9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4D8" w:rsidRPr="005618DF" w:rsidRDefault="000224D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5618DF">
              <w:rPr>
                <w:rFonts w:asciiTheme="minorHAnsi" w:eastAsia="Times New Roman" w:hAnsiTheme="minorHAnsi" w:cstheme="minorHAnsi"/>
                <w:color w:val="000000"/>
                <w:lang w:val="sr-Cyrl-CS"/>
              </w:rPr>
              <w:t>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4D8" w:rsidRPr="005618DF" w:rsidRDefault="000224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Zbir konacnih korecija (rashoda i prihoda) po osnovu transakcija sa svim pojedinacnim povezanim licima utvr</w:t>
            </w:r>
            <w:r w:rsidRPr="005618DF">
              <w:rPr>
                <w:rFonts w:asciiTheme="minorHAnsi" w:eastAsia="Times New Roman" w:hAnsiTheme="minorHAnsi" w:cstheme="minorHAnsi"/>
                <w:color w:val="000000"/>
              </w:rPr>
              <w:t>đ</w:t>
            </w: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en u zaklju</w:t>
            </w:r>
            <w:r w:rsidRPr="005618DF">
              <w:rPr>
                <w:rFonts w:asciiTheme="minorHAnsi" w:eastAsia="Times New Roman" w:hAnsiTheme="minorHAnsi" w:cstheme="minorHAnsi"/>
                <w:color w:val="000000"/>
              </w:rPr>
              <w:t>č</w:t>
            </w:r>
            <w:r w:rsidRPr="005618DF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ku dokumentacije o transfernim cenama.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4D8" w:rsidRPr="005618DF" w:rsidRDefault="004B7691" w:rsidP="004B76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sr-Latn-RS"/>
              </w:rPr>
            </w:pPr>
            <w:r w:rsidRPr="005618DF">
              <w:rPr>
                <w:rFonts w:asciiTheme="minorHAnsi" w:eastAsia="Times New Roman" w:hAnsiTheme="minorHAnsi" w:cstheme="minorHAnsi"/>
                <w:color w:val="000000"/>
              </w:rPr>
              <w:t>0</w:t>
            </w:r>
          </w:p>
        </w:tc>
      </w:tr>
    </w:tbl>
    <w:p w:rsidR="000224D8" w:rsidRPr="005618DF" w:rsidRDefault="000224D8" w:rsidP="000224D8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B7691" w:rsidRPr="005618DF" w:rsidRDefault="004B7691" w:rsidP="000224D8">
      <w:pPr>
        <w:pStyle w:val="Standard"/>
        <w:rPr>
          <w:rFonts w:asciiTheme="minorHAnsi" w:hAnsiTheme="minorHAnsi" w:cstheme="minorHAnsi"/>
          <w:sz w:val="22"/>
          <w:szCs w:val="22"/>
          <w:lang w:val="sl-SI"/>
        </w:rPr>
      </w:pPr>
    </w:p>
    <w:p w:rsidR="004B7691" w:rsidRPr="005618DF" w:rsidRDefault="004B7691" w:rsidP="000224D8">
      <w:pPr>
        <w:pStyle w:val="Standard"/>
        <w:rPr>
          <w:rFonts w:asciiTheme="minorHAnsi" w:hAnsiTheme="minorHAnsi" w:cstheme="minorHAnsi"/>
          <w:sz w:val="22"/>
          <w:szCs w:val="22"/>
          <w:lang w:val="sl-SI"/>
        </w:rPr>
      </w:pPr>
    </w:p>
    <w:p w:rsidR="000224D8" w:rsidRPr="005618DF" w:rsidRDefault="000224D8" w:rsidP="000224D8">
      <w:pPr>
        <w:pStyle w:val="Standard"/>
        <w:rPr>
          <w:rFonts w:asciiTheme="minorHAnsi" w:hAnsiTheme="minorHAnsi" w:cstheme="minorHAnsi"/>
          <w:sz w:val="22"/>
          <w:szCs w:val="22"/>
          <w:lang w:val="sl-SI"/>
        </w:rPr>
      </w:pPr>
    </w:p>
    <w:p w:rsidR="004B7691" w:rsidRPr="005618DF" w:rsidRDefault="004B7691" w:rsidP="000224D8">
      <w:pPr>
        <w:pStyle w:val="Standard"/>
        <w:rPr>
          <w:rFonts w:asciiTheme="minorHAnsi" w:hAnsiTheme="minorHAnsi" w:cstheme="minorHAnsi"/>
          <w:sz w:val="22"/>
          <w:szCs w:val="22"/>
          <w:lang w:val="sl-SI"/>
        </w:rPr>
      </w:pPr>
    </w:p>
    <w:p w:rsidR="001B351F" w:rsidRPr="005618DF" w:rsidRDefault="002F7AEF" w:rsidP="004B7691">
      <w:pPr>
        <w:pStyle w:val="Standard"/>
        <w:jc w:val="center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L</w:t>
      </w:r>
      <w:r w:rsidR="003B2769" w:rsidRPr="005618DF">
        <w:rPr>
          <w:rFonts w:asciiTheme="minorHAnsi" w:hAnsiTheme="minorHAnsi" w:cstheme="minorHAnsi"/>
          <w:sz w:val="22"/>
          <w:szCs w:val="22"/>
          <w:lang w:val="sl-SI"/>
        </w:rPr>
        <w:t>ice koje sastavlja poreski bilans</w:t>
      </w:r>
      <w:r w:rsidR="000224D8" w:rsidRPr="005618DF">
        <w:rPr>
          <w:rFonts w:asciiTheme="minorHAnsi" w:hAnsiTheme="minorHAnsi" w:cstheme="minorHAnsi"/>
          <w:sz w:val="22"/>
          <w:szCs w:val="22"/>
          <w:lang w:val="sl-SI"/>
        </w:rPr>
        <w:t>:</w:t>
      </w:r>
    </w:p>
    <w:p w:rsidR="001B351F" w:rsidRPr="005618DF" w:rsidRDefault="001B351F" w:rsidP="000224D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B351F" w:rsidRPr="005618DF" w:rsidRDefault="001B351F" w:rsidP="000224D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224D8" w:rsidRPr="005618DF" w:rsidRDefault="001B351F" w:rsidP="004B7691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5618DF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0224D8" w:rsidRPr="005618DF" w:rsidRDefault="000224D8" w:rsidP="000224D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4B7691" w:rsidRPr="005618DF" w:rsidRDefault="004B7691" w:rsidP="000224D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B351F" w:rsidRPr="005618DF" w:rsidRDefault="001B351F" w:rsidP="000224D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03BFC" w:rsidRPr="005618DF" w:rsidRDefault="00E03BFC">
      <w:pPr>
        <w:rPr>
          <w:rFonts w:asciiTheme="minorHAnsi" w:hAnsiTheme="minorHAnsi" w:cstheme="minorHAnsi"/>
        </w:rPr>
      </w:pPr>
    </w:p>
    <w:sectPr w:rsidR="00E03BFC" w:rsidRPr="005618DF" w:rsidSect="009E7E9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4E" w:rsidRDefault="00DE604E" w:rsidP="009E7E97">
      <w:pPr>
        <w:spacing w:after="0" w:line="240" w:lineRule="auto"/>
      </w:pPr>
      <w:r>
        <w:separator/>
      </w:r>
    </w:p>
  </w:endnote>
  <w:endnote w:type="continuationSeparator" w:id="0">
    <w:p w:rsidR="00DE604E" w:rsidRDefault="00DE604E" w:rsidP="009E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96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769" w:rsidRDefault="003B2769" w:rsidP="003B2769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7E97" w:rsidRDefault="009E7E97" w:rsidP="00AF6777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4E" w:rsidRDefault="00DE604E" w:rsidP="009E7E97">
      <w:pPr>
        <w:spacing w:after="0" w:line="240" w:lineRule="auto"/>
      </w:pPr>
      <w:r>
        <w:separator/>
      </w:r>
    </w:p>
  </w:footnote>
  <w:footnote w:type="continuationSeparator" w:id="0">
    <w:p w:rsidR="00DE604E" w:rsidRDefault="00DE604E" w:rsidP="009E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DC" w:rsidRDefault="002F7AEF" w:rsidP="00F41888">
    <w:pPr>
      <w:pStyle w:val="Header"/>
      <w:pBdr>
        <w:bottom w:val="single" w:sz="4" w:space="1" w:color="auto"/>
      </w:pBdr>
      <w:jc w:val="right"/>
      <w:rPr>
        <w:b/>
      </w:rPr>
    </w:pPr>
    <w:r>
      <w:rPr>
        <w:b/>
      </w:rPr>
      <w:t>XZY</w:t>
    </w:r>
    <w:r w:rsidR="00F41888">
      <w:rPr>
        <w:b/>
      </w:rPr>
      <w:t xml:space="preserve"> </w:t>
    </w:r>
    <w:proofErr w:type="spellStart"/>
    <w:r w:rsidR="00F41888">
      <w:rPr>
        <w:b/>
      </w:rPr>
      <w:t>d.o.o</w:t>
    </w:r>
    <w:proofErr w:type="spellEnd"/>
    <w:r w:rsidR="00F41888">
      <w:rPr>
        <w:b/>
      </w:rPr>
      <w:t>. BEOGRAD</w:t>
    </w:r>
  </w:p>
  <w:p w:rsidR="00F41888" w:rsidRDefault="00E435DC" w:rsidP="00F41888">
    <w:pPr>
      <w:pStyle w:val="Header"/>
      <w:pBdr>
        <w:bottom w:val="single" w:sz="4" w:space="1" w:color="auto"/>
      </w:pBdr>
      <w:rPr>
        <w:b/>
      </w:rPr>
    </w:pPr>
    <w:r>
      <w:rPr>
        <w:b/>
      </w:rPr>
      <w:t xml:space="preserve">IZVEŠTAJ O TRANSFERNIM CENAMA U </w:t>
    </w:r>
  </w:p>
  <w:p w:rsidR="00E435DC" w:rsidRPr="00E435DC" w:rsidRDefault="00E435DC" w:rsidP="00F41888">
    <w:pPr>
      <w:pStyle w:val="Header"/>
      <w:pBdr>
        <w:bottom w:val="single" w:sz="4" w:space="1" w:color="auto"/>
      </w:pBdr>
      <w:rPr>
        <w:b/>
      </w:rPr>
    </w:pPr>
    <w:r>
      <w:rPr>
        <w:b/>
      </w:rPr>
      <w:t>SKRAĆENOM OBLIKU</w:t>
    </w:r>
    <w:r w:rsidR="00F41888">
      <w:rPr>
        <w:b/>
      </w:rPr>
      <w:t xml:space="preserve"> </w:t>
    </w:r>
    <w:r>
      <w:rPr>
        <w:b/>
      </w:rPr>
      <w:t>2014. GODINA</w:t>
    </w:r>
  </w:p>
  <w:p w:rsidR="009E7E97" w:rsidRDefault="009E7E97" w:rsidP="00F4188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373"/>
    <w:multiLevelType w:val="hybridMultilevel"/>
    <w:tmpl w:val="43C0A0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B0587F"/>
    <w:multiLevelType w:val="hybridMultilevel"/>
    <w:tmpl w:val="71287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D0193E"/>
    <w:multiLevelType w:val="multilevel"/>
    <w:tmpl w:val="32A42C4C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7ACF23BB"/>
    <w:multiLevelType w:val="multilevel"/>
    <w:tmpl w:val="CB6CA5CA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D8"/>
    <w:rsid w:val="000224D8"/>
    <w:rsid w:val="000B3382"/>
    <w:rsid w:val="001B351F"/>
    <w:rsid w:val="001F688B"/>
    <w:rsid w:val="002F7AEF"/>
    <w:rsid w:val="003B2769"/>
    <w:rsid w:val="003B470D"/>
    <w:rsid w:val="003D1565"/>
    <w:rsid w:val="003E697D"/>
    <w:rsid w:val="00403669"/>
    <w:rsid w:val="004B7691"/>
    <w:rsid w:val="004E6C7C"/>
    <w:rsid w:val="005351DA"/>
    <w:rsid w:val="005618DF"/>
    <w:rsid w:val="00623CAB"/>
    <w:rsid w:val="00682057"/>
    <w:rsid w:val="008D7B84"/>
    <w:rsid w:val="008F431A"/>
    <w:rsid w:val="009705AF"/>
    <w:rsid w:val="009E7E97"/>
    <w:rsid w:val="00A07CAC"/>
    <w:rsid w:val="00A2091C"/>
    <w:rsid w:val="00A316FD"/>
    <w:rsid w:val="00A5648D"/>
    <w:rsid w:val="00AF6777"/>
    <w:rsid w:val="00B53246"/>
    <w:rsid w:val="00B84946"/>
    <w:rsid w:val="00DE604E"/>
    <w:rsid w:val="00E03BFC"/>
    <w:rsid w:val="00E435DC"/>
    <w:rsid w:val="00E61D34"/>
    <w:rsid w:val="00EC1D2D"/>
    <w:rsid w:val="00F4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D8"/>
    <w:pPr>
      <w:widowControl w:val="0"/>
      <w:suppressAutoHyphens/>
      <w:autoSpaceDN w:val="0"/>
    </w:pPr>
    <w:rPr>
      <w:rFonts w:ascii="Calibri" w:eastAsia="SimSun" w:hAnsi="Calibri" w:cs="Calibri"/>
      <w:kern w:val="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224D8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3"/>
      <w:sz w:val="24"/>
      <w:szCs w:val="24"/>
      <w:lang w:val="en-US"/>
    </w:rPr>
  </w:style>
  <w:style w:type="paragraph" w:styleId="ListParagraph">
    <w:name w:val="List Paragraph"/>
    <w:basedOn w:val="Standard"/>
    <w:qFormat/>
    <w:rsid w:val="000224D8"/>
    <w:pPr>
      <w:spacing w:after="200"/>
      <w:ind w:left="720"/>
    </w:pPr>
  </w:style>
  <w:style w:type="numbering" w:customStyle="1" w:styleId="WWNum3">
    <w:name w:val="WWNum3"/>
    <w:rsid w:val="000224D8"/>
    <w:pPr>
      <w:numPr>
        <w:numId w:val="1"/>
      </w:numPr>
    </w:pPr>
  </w:style>
  <w:style w:type="numbering" w:customStyle="1" w:styleId="WWNum2">
    <w:name w:val="WWNum2"/>
    <w:rsid w:val="000224D8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9E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E97"/>
    <w:rPr>
      <w:rFonts w:ascii="Calibri" w:eastAsia="SimSun" w:hAnsi="Calibri" w:cs="Calibri"/>
      <w:kern w:val="3"/>
    </w:rPr>
  </w:style>
  <w:style w:type="paragraph" w:styleId="Footer">
    <w:name w:val="footer"/>
    <w:basedOn w:val="Normal"/>
    <w:link w:val="FooterChar"/>
    <w:uiPriority w:val="99"/>
    <w:unhideWhenUsed/>
    <w:rsid w:val="009E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97"/>
    <w:rPr>
      <w:rFonts w:ascii="Calibri" w:eastAsia="SimSun" w:hAnsi="Calibri" w:cs="Calibri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97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D8"/>
    <w:pPr>
      <w:widowControl w:val="0"/>
      <w:suppressAutoHyphens/>
      <w:autoSpaceDN w:val="0"/>
    </w:pPr>
    <w:rPr>
      <w:rFonts w:ascii="Calibri" w:eastAsia="SimSun" w:hAnsi="Calibri" w:cs="Calibri"/>
      <w:kern w:val="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224D8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3"/>
      <w:sz w:val="24"/>
      <w:szCs w:val="24"/>
      <w:lang w:val="en-US"/>
    </w:rPr>
  </w:style>
  <w:style w:type="paragraph" w:styleId="ListParagraph">
    <w:name w:val="List Paragraph"/>
    <w:basedOn w:val="Standard"/>
    <w:qFormat/>
    <w:rsid w:val="000224D8"/>
    <w:pPr>
      <w:spacing w:after="200"/>
      <w:ind w:left="720"/>
    </w:pPr>
  </w:style>
  <w:style w:type="numbering" w:customStyle="1" w:styleId="WWNum3">
    <w:name w:val="WWNum3"/>
    <w:rsid w:val="000224D8"/>
    <w:pPr>
      <w:numPr>
        <w:numId w:val="1"/>
      </w:numPr>
    </w:pPr>
  </w:style>
  <w:style w:type="numbering" w:customStyle="1" w:styleId="WWNum2">
    <w:name w:val="WWNum2"/>
    <w:rsid w:val="000224D8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9E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E97"/>
    <w:rPr>
      <w:rFonts w:ascii="Calibri" w:eastAsia="SimSun" w:hAnsi="Calibri" w:cs="Calibri"/>
      <w:kern w:val="3"/>
    </w:rPr>
  </w:style>
  <w:style w:type="paragraph" w:styleId="Footer">
    <w:name w:val="footer"/>
    <w:basedOn w:val="Normal"/>
    <w:link w:val="FooterChar"/>
    <w:uiPriority w:val="99"/>
    <w:unhideWhenUsed/>
    <w:rsid w:val="009E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97"/>
    <w:rPr>
      <w:rFonts w:ascii="Calibri" w:eastAsia="SimSun" w:hAnsi="Calibri" w:cs="Calibri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97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C00CEB-64AE-4370-B3F3-2A1E50D0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 transfernim cenama u skraćenom obliku</vt:lpstr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 transfernim cenama u skraćenom obliku</dc:title>
  <dc:creator>ADM Solutions</dc:creator>
  <cp:lastModifiedBy>Bojan</cp:lastModifiedBy>
  <cp:revision>4</cp:revision>
  <cp:lastPrinted>2015-10-02T11:16:00Z</cp:lastPrinted>
  <dcterms:created xsi:type="dcterms:W3CDTF">2015-10-12T11:41:00Z</dcterms:created>
  <dcterms:modified xsi:type="dcterms:W3CDTF">2015-10-12T11:43:00Z</dcterms:modified>
</cp:coreProperties>
</file>